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189" w:rsidRDefault="00AC7189" w:rsidP="00AC7189">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AC7189">
        <w:rPr>
          <w:rFonts w:ascii="Arial" w:hAnsi="Arial" w:cs="Arial"/>
          <w:b/>
          <w:sz w:val="20"/>
          <w:szCs w:val="20"/>
        </w:rPr>
        <w:t>Fiche 4 - Comités techniques d’établissements</w:t>
      </w:r>
    </w:p>
    <w:p w:rsidR="00AC7189" w:rsidRPr="00936EDC" w:rsidRDefault="00936EDC" w:rsidP="00AC7189">
      <w:pPr>
        <w:rPr>
          <w:rFonts w:ascii="Arial" w:hAnsi="Arial" w:cs="Arial"/>
          <w:b/>
          <w:sz w:val="20"/>
          <w:szCs w:val="20"/>
        </w:rPr>
      </w:pPr>
      <w:r w:rsidRPr="00936EDC">
        <w:rPr>
          <w:rFonts w:ascii="Arial" w:hAnsi="Arial" w:cs="Arial"/>
          <w:b/>
          <w:sz w:val="20"/>
          <w:szCs w:val="20"/>
        </w:rPr>
        <w:t>Création des comités techniques</w:t>
      </w:r>
    </w:p>
    <w:p w:rsidR="00AC7189" w:rsidRPr="00817DB5" w:rsidRDefault="00817DB5" w:rsidP="00AC7189">
      <w:pPr>
        <w:jc w:val="both"/>
        <w:rPr>
          <w:rFonts w:ascii="Arial" w:hAnsi="Arial" w:cs="Arial"/>
          <w:sz w:val="20"/>
          <w:szCs w:val="20"/>
        </w:rPr>
      </w:pPr>
      <w:r>
        <w:rPr>
          <w:rFonts w:ascii="Arial" w:hAnsi="Arial" w:cs="Arial"/>
          <w:sz w:val="20"/>
          <w:szCs w:val="20"/>
        </w:rPr>
        <w:t xml:space="preserve">- </w:t>
      </w:r>
      <w:r w:rsidR="00AC7189" w:rsidRPr="00817DB5">
        <w:rPr>
          <w:rFonts w:ascii="Arial" w:hAnsi="Arial" w:cs="Arial"/>
          <w:sz w:val="20"/>
          <w:szCs w:val="20"/>
        </w:rPr>
        <w:t>En application de l’article 7 du décret du 15 février 2011 précité, un comité technique de proximité doit être créé dans chaque établissement public de l’Etat ne présentant pas un caractère industriel ou commercial.</w:t>
      </w:r>
    </w:p>
    <w:p w:rsidR="00AC7189" w:rsidRPr="00817DB5" w:rsidRDefault="00AC7189" w:rsidP="00AC7189">
      <w:pPr>
        <w:jc w:val="both"/>
        <w:rPr>
          <w:rFonts w:ascii="Arial" w:hAnsi="Arial" w:cs="Arial"/>
          <w:sz w:val="20"/>
          <w:szCs w:val="20"/>
        </w:rPr>
      </w:pPr>
      <w:r w:rsidRPr="00817DB5">
        <w:rPr>
          <w:rFonts w:ascii="Arial" w:hAnsi="Arial" w:cs="Arial"/>
          <w:sz w:val="20"/>
          <w:szCs w:val="20"/>
        </w:rPr>
        <w:t>Le périmètre des établissements concernés est le même que celui servant à constituer le périmètre du CTMESR.</w:t>
      </w:r>
    </w:p>
    <w:p w:rsidR="00AC7189" w:rsidRPr="00817DB5" w:rsidRDefault="00AC7189" w:rsidP="00AC7189">
      <w:pPr>
        <w:jc w:val="both"/>
        <w:rPr>
          <w:rFonts w:ascii="Arial" w:hAnsi="Arial" w:cs="Arial"/>
          <w:sz w:val="20"/>
          <w:szCs w:val="20"/>
        </w:rPr>
      </w:pPr>
      <w:r w:rsidRPr="00817DB5">
        <w:rPr>
          <w:rFonts w:ascii="Arial" w:hAnsi="Arial" w:cs="Arial"/>
          <w:sz w:val="20"/>
          <w:szCs w:val="20"/>
        </w:rPr>
        <w:t>Toutefois, la constitution du comité technique de proximité ne représente pas le même vote que celui exprimé pour la constitution du CTMESR. Prévoir une urne différente et donc des listes de candidats différentes.</w:t>
      </w:r>
    </w:p>
    <w:p w:rsidR="00AC7189" w:rsidRPr="00817DB5" w:rsidRDefault="00AC7189" w:rsidP="00AC7189">
      <w:pPr>
        <w:jc w:val="both"/>
        <w:rPr>
          <w:rFonts w:ascii="Arial" w:hAnsi="Arial" w:cs="Arial"/>
          <w:sz w:val="20"/>
          <w:szCs w:val="20"/>
        </w:rPr>
      </w:pPr>
      <w:r w:rsidRPr="00817DB5">
        <w:rPr>
          <w:rFonts w:ascii="Arial" w:hAnsi="Arial" w:cs="Arial"/>
          <w:sz w:val="20"/>
          <w:szCs w:val="20"/>
        </w:rPr>
        <w:t xml:space="preserve">Chaque établissement devra vérifier les listes de candidats au niveau local. </w:t>
      </w:r>
    </w:p>
    <w:p w:rsidR="00AC7189" w:rsidRPr="00817DB5" w:rsidRDefault="00817DB5" w:rsidP="00AC7189">
      <w:pPr>
        <w:jc w:val="both"/>
        <w:rPr>
          <w:rFonts w:ascii="Arial" w:hAnsi="Arial" w:cs="Arial"/>
          <w:sz w:val="20"/>
          <w:szCs w:val="20"/>
        </w:rPr>
      </w:pPr>
      <w:r>
        <w:rPr>
          <w:rFonts w:ascii="Arial" w:hAnsi="Arial" w:cs="Arial"/>
          <w:sz w:val="20"/>
          <w:szCs w:val="20"/>
        </w:rPr>
        <w:t xml:space="preserve">- </w:t>
      </w:r>
      <w:r w:rsidR="00AC7189" w:rsidRPr="00817DB5">
        <w:rPr>
          <w:rFonts w:ascii="Arial" w:hAnsi="Arial" w:cs="Arial"/>
          <w:sz w:val="20"/>
          <w:szCs w:val="20"/>
        </w:rPr>
        <w:t>En application de l’article L. 951-1-1 du code de l’éducation, un comité technique est créé dans chaque établissement public à caractère scientifique, culturel et professionnel</w:t>
      </w:r>
      <w:r w:rsidR="001D5B0E" w:rsidRPr="00817DB5">
        <w:rPr>
          <w:rFonts w:ascii="Arial" w:hAnsi="Arial" w:cs="Arial"/>
          <w:sz w:val="20"/>
          <w:szCs w:val="20"/>
        </w:rPr>
        <w:t xml:space="preserve"> par délibération du conseil d’administration. Les c</w:t>
      </w:r>
      <w:r w:rsidR="00AC7189" w:rsidRPr="00817DB5">
        <w:rPr>
          <w:rFonts w:ascii="Arial" w:hAnsi="Arial" w:cs="Arial"/>
          <w:sz w:val="20"/>
          <w:szCs w:val="20"/>
        </w:rPr>
        <w:t>ommunautés d’universités et établissements qui sont devenus des établissements publics à caractère scientif</w:t>
      </w:r>
      <w:r w:rsidR="001D5B0E" w:rsidRPr="00817DB5">
        <w:rPr>
          <w:rFonts w:ascii="Arial" w:hAnsi="Arial" w:cs="Arial"/>
          <w:sz w:val="20"/>
          <w:szCs w:val="20"/>
        </w:rPr>
        <w:t>ique, culturel et professionnel depuis la publication de la loi ESR doivent donc</w:t>
      </w:r>
      <w:r w:rsidR="00AC7189" w:rsidRPr="00817DB5">
        <w:rPr>
          <w:rFonts w:ascii="Arial" w:hAnsi="Arial" w:cs="Arial"/>
          <w:sz w:val="20"/>
          <w:szCs w:val="20"/>
        </w:rPr>
        <w:t xml:space="preserve"> </w:t>
      </w:r>
      <w:r w:rsidR="001D5B0E" w:rsidRPr="00817DB5">
        <w:rPr>
          <w:rFonts w:ascii="Arial" w:hAnsi="Arial" w:cs="Arial"/>
          <w:sz w:val="20"/>
          <w:szCs w:val="20"/>
        </w:rPr>
        <w:t xml:space="preserve">créer </w:t>
      </w:r>
      <w:r w:rsidR="00AC7189" w:rsidRPr="00817DB5">
        <w:rPr>
          <w:rFonts w:ascii="Arial" w:hAnsi="Arial" w:cs="Arial"/>
          <w:sz w:val="20"/>
          <w:szCs w:val="20"/>
        </w:rPr>
        <w:t xml:space="preserve">leur comité technique </w:t>
      </w:r>
      <w:r w:rsidR="001D5B0E" w:rsidRPr="00817DB5">
        <w:rPr>
          <w:rFonts w:ascii="Arial" w:hAnsi="Arial" w:cs="Arial"/>
          <w:sz w:val="20"/>
          <w:szCs w:val="20"/>
        </w:rPr>
        <w:t>par délibération de leur conseil d’administration</w:t>
      </w:r>
      <w:r w:rsidR="00AC7189" w:rsidRPr="00817DB5">
        <w:rPr>
          <w:rFonts w:ascii="Arial" w:hAnsi="Arial" w:cs="Arial"/>
          <w:sz w:val="20"/>
          <w:szCs w:val="20"/>
        </w:rPr>
        <w:t>.</w:t>
      </w:r>
      <w:r w:rsidR="001D5B0E" w:rsidRPr="00817DB5">
        <w:rPr>
          <w:rFonts w:ascii="Arial" w:hAnsi="Arial" w:cs="Arial"/>
          <w:sz w:val="20"/>
          <w:szCs w:val="20"/>
        </w:rPr>
        <w:t xml:space="preserve"> Il en est de même pour le nouvel établissement Université de Bordeaux.</w:t>
      </w:r>
    </w:p>
    <w:p w:rsidR="003D4A63" w:rsidRDefault="00817DB5" w:rsidP="00AC7189">
      <w:pPr>
        <w:jc w:val="both"/>
        <w:rPr>
          <w:rFonts w:ascii="Arial" w:hAnsi="Arial" w:cs="Arial"/>
          <w:sz w:val="20"/>
          <w:szCs w:val="20"/>
        </w:rPr>
      </w:pPr>
      <w:r>
        <w:rPr>
          <w:rFonts w:ascii="Arial" w:hAnsi="Arial" w:cs="Arial"/>
          <w:sz w:val="20"/>
          <w:szCs w:val="20"/>
        </w:rPr>
        <w:t xml:space="preserve">- </w:t>
      </w:r>
      <w:r w:rsidR="00AC7189" w:rsidRPr="00817DB5">
        <w:rPr>
          <w:rFonts w:ascii="Arial" w:hAnsi="Arial" w:cs="Arial"/>
          <w:sz w:val="20"/>
          <w:szCs w:val="20"/>
        </w:rPr>
        <w:t xml:space="preserve">En ce qui concerne les comités techniques des établissements publics administratifs restant à créer, la DGRH </w:t>
      </w:r>
      <w:r w:rsidR="001D5B0E" w:rsidRPr="00817DB5">
        <w:rPr>
          <w:rFonts w:ascii="Arial" w:hAnsi="Arial" w:cs="Arial"/>
          <w:sz w:val="20"/>
          <w:szCs w:val="20"/>
        </w:rPr>
        <w:t xml:space="preserve">a déjà procédé par deux arrêtés du 2 août 2011 et par arrêtés spécifiques pour chaque EPST à la création de la plupart des comités techniques des établissements publics à caractère administratif. </w:t>
      </w:r>
    </w:p>
    <w:p w:rsidR="001D5B0E" w:rsidRPr="00817DB5" w:rsidRDefault="003D4A63" w:rsidP="00AC7189">
      <w:pPr>
        <w:jc w:val="both"/>
        <w:rPr>
          <w:rFonts w:ascii="Arial" w:hAnsi="Arial" w:cs="Arial"/>
          <w:sz w:val="20"/>
          <w:szCs w:val="20"/>
        </w:rPr>
      </w:pPr>
      <w:r>
        <w:rPr>
          <w:rFonts w:ascii="Arial" w:hAnsi="Arial" w:cs="Arial"/>
          <w:sz w:val="20"/>
          <w:szCs w:val="20"/>
        </w:rPr>
        <w:t>Plusieurs</w:t>
      </w:r>
      <w:r w:rsidR="001D5B0E" w:rsidRPr="00817DB5">
        <w:rPr>
          <w:rFonts w:ascii="Arial" w:hAnsi="Arial" w:cs="Arial"/>
          <w:sz w:val="20"/>
          <w:szCs w:val="20"/>
        </w:rPr>
        <w:t xml:space="preserve"> établissements </w:t>
      </w:r>
      <w:r>
        <w:rPr>
          <w:rFonts w:ascii="Arial" w:hAnsi="Arial" w:cs="Arial"/>
          <w:sz w:val="20"/>
          <w:szCs w:val="20"/>
        </w:rPr>
        <w:t xml:space="preserve">ont déjà été identifiés </w:t>
      </w:r>
      <w:r w:rsidR="001D5B0E" w:rsidRPr="00817DB5">
        <w:rPr>
          <w:rFonts w:ascii="Arial" w:hAnsi="Arial" w:cs="Arial"/>
          <w:sz w:val="20"/>
          <w:szCs w:val="20"/>
        </w:rPr>
        <w:t>pour lesquels le ministère doit désormais procéder à la prise d’un arrêté de création :</w:t>
      </w:r>
    </w:p>
    <w:p w:rsidR="001D5B0E" w:rsidRPr="00817DB5" w:rsidRDefault="001D5B0E" w:rsidP="00817DB5">
      <w:pPr>
        <w:framePr w:hSpace="141" w:wrap="around" w:vAnchor="text" w:hAnchor="text" w:y="1"/>
        <w:pBdr>
          <w:top w:val="single" w:sz="4" w:space="1" w:color="auto"/>
          <w:left w:val="single" w:sz="4" w:space="4" w:color="auto"/>
          <w:bottom w:val="single" w:sz="4" w:space="1" w:color="auto"/>
          <w:right w:val="single" w:sz="4" w:space="4" w:color="auto"/>
        </w:pBdr>
        <w:suppressOverlap/>
        <w:rPr>
          <w:rFonts w:ascii="Arial" w:hAnsi="Arial" w:cs="Arial"/>
          <w:b/>
          <w:sz w:val="20"/>
          <w:szCs w:val="20"/>
        </w:rPr>
      </w:pPr>
      <w:r w:rsidRPr="00817DB5">
        <w:rPr>
          <w:rFonts w:ascii="Arial" w:hAnsi="Arial" w:cs="Arial"/>
          <w:b/>
          <w:sz w:val="20"/>
          <w:szCs w:val="20"/>
        </w:rPr>
        <w:t>EPA avec élections en 2010</w:t>
      </w:r>
    </w:p>
    <w:p w:rsidR="001D5B0E" w:rsidRPr="00817DB5" w:rsidRDefault="001D5B0E" w:rsidP="00817DB5">
      <w:pPr>
        <w:framePr w:hSpace="141" w:wrap="around" w:vAnchor="text" w:hAnchor="text" w:y="1"/>
        <w:pBdr>
          <w:top w:val="single" w:sz="4" w:space="1" w:color="auto"/>
          <w:left w:val="single" w:sz="4" w:space="4" w:color="auto"/>
          <w:bottom w:val="single" w:sz="4" w:space="1" w:color="auto"/>
          <w:right w:val="single" w:sz="4" w:space="4" w:color="auto"/>
        </w:pBdr>
        <w:suppressOverlap/>
        <w:rPr>
          <w:rFonts w:ascii="Arial" w:hAnsi="Arial" w:cs="Arial"/>
          <w:sz w:val="20"/>
          <w:szCs w:val="20"/>
        </w:rPr>
      </w:pPr>
      <w:r w:rsidRPr="00817DB5">
        <w:rPr>
          <w:rFonts w:ascii="Arial" w:hAnsi="Arial" w:cs="Arial"/>
          <w:sz w:val="20"/>
          <w:szCs w:val="20"/>
        </w:rPr>
        <w:t>ENS chimie de Paris, ENS chimie de Rennes, ENSIIE, EN</w:t>
      </w:r>
      <w:r w:rsidR="00953730" w:rsidRPr="00817DB5">
        <w:rPr>
          <w:rFonts w:ascii="Arial" w:hAnsi="Arial" w:cs="Arial"/>
          <w:sz w:val="20"/>
          <w:szCs w:val="20"/>
        </w:rPr>
        <w:t xml:space="preserve">I de Tarbes, ENI du Val de Loire, </w:t>
      </w:r>
      <w:r w:rsidRPr="00817DB5">
        <w:rPr>
          <w:rFonts w:ascii="Arial" w:hAnsi="Arial" w:cs="Arial"/>
          <w:sz w:val="20"/>
          <w:szCs w:val="20"/>
        </w:rPr>
        <w:t>IEP de Lille</w:t>
      </w:r>
      <w:r w:rsidR="00953730" w:rsidRPr="00817DB5">
        <w:rPr>
          <w:rFonts w:ascii="Arial" w:hAnsi="Arial" w:cs="Arial"/>
          <w:sz w:val="20"/>
          <w:szCs w:val="20"/>
        </w:rPr>
        <w:t xml:space="preserve">, </w:t>
      </w:r>
      <w:r w:rsidRPr="00817DB5">
        <w:rPr>
          <w:rFonts w:ascii="Arial" w:hAnsi="Arial" w:cs="Arial"/>
          <w:sz w:val="20"/>
          <w:szCs w:val="20"/>
        </w:rPr>
        <w:t>CTLES</w:t>
      </w:r>
      <w:r w:rsidR="00953730" w:rsidRPr="00817DB5">
        <w:rPr>
          <w:rFonts w:ascii="Arial" w:hAnsi="Arial" w:cs="Arial"/>
          <w:sz w:val="20"/>
          <w:szCs w:val="20"/>
        </w:rPr>
        <w:t xml:space="preserve">, </w:t>
      </w:r>
      <w:r w:rsidRPr="00817DB5">
        <w:rPr>
          <w:rFonts w:ascii="Arial" w:hAnsi="Arial" w:cs="Arial"/>
          <w:sz w:val="20"/>
          <w:szCs w:val="20"/>
        </w:rPr>
        <w:t>BNU de Strasbourg</w:t>
      </w:r>
      <w:r w:rsidR="00953730" w:rsidRPr="00817DB5">
        <w:rPr>
          <w:rFonts w:ascii="Arial" w:hAnsi="Arial" w:cs="Arial"/>
          <w:sz w:val="20"/>
          <w:szCs w:val="20"/>
        </w:rPr>
        <w:t xml:space="preserve">, </w:t>
      </w:r>
      <w:r w:rsidRPr="00817DB5">
        <w:rPr>
          <w:rFonts w:ascii="Arial" w:hAnsi="Arial" w:cs="Arial"/>
          <w:sz w:val="20"/>
          <w:szCs w:val="20"/>
        </w:rPr>
        <w:t>EPAURIF</w:t>
      </w:r>
      <w:r w:rsidR="00953730" w:rsidRPr="00817DB5">
        <w:rPr>
          <w:rFonts w:ascii="Arial" w:hAnsi="Arial" w:cs="Arial"/>
          <w:sz w:val="20"/>
          <w:szCs w:val="20"/>
        </w:rPr>
        <w:t xml:space="preserve">, </w:t>
      </w:r>
      <w:r w:rsidRPr="00817DB5">
        <w:rPr>
          <w:rFonts w:ascii="Arial" w:hAnsi="Arial" w:cs="Arial"/>
          <w:sz w:val="20"/>
          <w:szCs w:val="20"/>
        </w:rPr>
        <w:t>ENSATT</w:t>
      </w:r>
      <w:r w:rsidR="00953730" w:rsidRPr="00817DB5">
        <w:rPr>
          <w:rFonts w:ascii="Arial" w:hAnsi="Arial" w:cs="Arial"/>
          <w:sz w:val="20"/>
          <w:szCs w:val="20"/>
        </w:rPr>
        <w:t>, INSERM.</w:t>
      </w:r>
    </w:p>
    <w:p w:rsidR="00953730" w:rsidRPr="00817DB5" w:rsidRDefault="00953730" w:rsidP="00817DB5">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817DB5">
        <w:rPr>
          <w:rFonts w:ascii="Arial" w:hAnsi="Arial" w:cs="Arial"/>
          <w:b/>
          <w:sz w:val="20"/>
          <w:szCs w:val="20"/>
        </w:rPr>
        <w:t xml:space="preserve">EPA nouveaux </w:t>
      </w:r>
    </w:p>
    <w:p w:rsidR="001D5B0E" w:rsidRPr="00817DB5" w:rsidRDefault="00953730" w:rsidP="00817DB5">
      <w:pPr>
        <w:pBdr>
          <w:top w:val="single" w:sz="4" w:space="1" w:color="auto"/>
          <w:left w:val="single" w:sz="4" w:space="4" w:color="auto"/>
          <w:bottom w:val="single" w:sz="4" w:space="1" w:color="auto"/>
          <w:right w:val="single" w:sz="4" w:space="4" w:color="auto"/>
        </w:pBdr>
        <w:rPr>
          <w:rFonts w:ascii="Arial" w:hAnsi="Arial" w:cs="Arial"/>
          <w:sz w:val="20"/>
          <w:szCs w:val="20"/>
        </w:rPr>
      </w:pPr>
      <w:r w:rsidRPr="00817DB5">
        <w:rPr>
          <w:rFonts w:ascii="Arial" w:hAnsi="Arial" w:cs="Arial"/>
          <w:sz w:val="20"/>
          <w:szCs w:val="20"/>
        </w:rPr>
        <w:t>CUFR Mayotte, PRES Campus Condorcet.</w:t>
      </w:r>
    </w:p>
    <w:p w:rsidR="00936EDC" w:rsidRPr="00936EDC" w:rsidRDefault="00936EDC" w:rsidP="00AC7189">
      <w:pPr>
        <w:jc w:val="both"/>
        <w:rPr>
          <w:rFonts w:ascii="Arial" w:hAnsi="Arial" w:cs="Arial"/>
          <w:b/>
          <w:sz w:val="20"/>
          <w:szCs w:val="20"/>
        </w:rPr>
      </w:pPr>
      <w:r w:rsidRPr="00936EDC">
        <w:rPr>
          <w:rFonts w:ascii="Arial" w:hAnsi="Arial" w:cs="Arial"/>
          <w:b/>
          <w:sz w:val="20"/>
          <w:szCs w:val="20"/>
        </w:rPr>
        <w:t>Convergence des mandats</w:t>
      </w:r>
    </w:p>
    <w:p w:rsidR="00953730" w:rsidRDefault="00817DB5" w:rsidP="00AC7189">
      <w:pPr>
        <w:jc w:val="both"/>
        <w:rPr>
          <w:rFonts w:ascii="Arial" w:hAnsi="Arial" w:cs="Arial"/>
          <w:sz w:val="20"/>
          <w:szCs w:val="20"/>
        </w:rPr>
      </w:pPr>
      <w:r>
        <w:rPr>
          <w:rFonts w:ascii="Arial" w:hAnsi="Arial" w:cs="Arial"/>
          <w:sz w:val="20"/>
          <w:szCs w:val="20"/>
        </w:rPr>
        <w:t xml:space="preserve">- </w:t>
      </w:r>
      <w:r w:rsidR="00AC7189" w:rsidRPr="00817DB5">
        <w:rPr>
          <w:rFonts w:ascii="Arial" w:hAnsi="Arial" w:cs="Arial"/>
          <w:sz w:val="20"/>
          <w:szCs w:val="20"/>
        </w:rPr>
        <w:t xml:space="preserve"> </w:t>
      </w:r>
      <w:r w:rsidR="00936EDC">
        <w:rPr>
          <w:rFonts w:ascii="Arial" w:hAnsi="Arial" w:cs="Arial"/>
          <w:sz w:val="20"/>
          <w:szCs w:val="20"/>
        </w:rPr>
        <w:t>I</w:t>
      </w:r>
      <w:r w:rsidR="00953730" w:rsidRPr="00817DB5">
        <w:rPr>
          <w:rFonts w:ascii="Arial" w:hAnsi="Arial" w:cs="Arial"/>
          <w:sz w:val="20"/>
          <w:szCs w:val="20"/>
        </w:rPr>
        <w:t>l convient d’appliquer les dispositions de l’article 53 du décret du 15 février 2011 précité. Cet article prévoit que dans l’intérêt du service la durée des mandats des représentants des personnels d’un comité technique peut être réduite ou prorogée, par arrêté conjoint du ministre chargé de la fonction publique et du ministre intéressé</w:t>
      </w:r>
      <w:r w:rsidR="006B0CB7" w:rsidRPr="00817DB5">
        <w:rPr>
          <w:rFonts w:ascii="Arial" w:hAnsi="Arial" w:cs="Arial"/>
          <w:sz w:val="20"/>
          <w:szCs w:val="20"/>
        </w:rPr>
        <w:t>. Cette réduction ou prorogation ne peut excéder une durée de dix-huit mois.</w:t>
      </w:r>
    </w:p>
    <w:p w:rsidR="003D4A63" w:rsidRPr="00817DB5" w:rsidRDefault="003D4A63" w:rsidP="00AC7189">
      <w:pPr>
        <w:jc w:val="both"/>
        <w:rPr>
          <w:rFonts w:ascii="Arial" w:hAnsi="Arial" w:cs="Arial"/>
          <w:sz w:val="20"/>
          <w:szCs w:val="20"/>
        </w:rPr>
      </w:pPr>
      <w:r>
        <w:rPr>
          <w:rFonts w:ascii="Arial" w:hAnsi="Arial" w:cs="Arial"/>
          <w:sz w:val="20"/>
          <w:szCs w:val="20"/>
        </w:rPr>
        <w:t>Sur la base d’une enquête lancée auprès des établissements trois arrêtés seront prochainement publiés pour proroger ou réduire les mandats des membres de certaines instances.</w:t>
      </w:r>
    </w:p>
    <w:p w:rsidR="00936EDC" w:rsidRPr="00936EDC" w:rsidRDefault="00936EDC" w:rsidP="00AC7189">
      <w:pPr>
        <w:jc w:val="both"/>
        <w:rPr>
          <w:rFonts w:ascii="Arial" w:hAnsi="Arial" w:cs="Arial"/>
          <w:b/>
          <w:sz w:val="20"/>
          <w:szCs w:val="20"/>
        </w:rPr>
      </w:pPr>
      <w:r w:rsidRPr="00936EDC">
        <w:rPr>
          <w:rFonts w:ascii="Arial" w:hAnsi="Arial" w:cs="Arial"/>
          <w:b/>
          <w:sz w:val="20"/>
          <w:szCs w:val="20"/>
        </w:rPr>
        <w:t xml:space="preserve">Architecture intermédiaire des comités techniques  </w:t>
      </w:r>
    </w:p>
    <w:p w:rsidR="00AC7189" w:rsidRPr="00817DB5" w:rsidRDefault="00AC7189" w:rsidP="00AC7189">
      <w:pPr>
        <w:jc w:val="both"/>
        <w:rPr>
          <w:rFonts w:ascii="Arial" w:hAnsi="Arial" w:cs="Arial"/>
          <w:sz w:val="20"/>
          <w:szCs w:val="20"/>
        </w:rPr>
      </w:pPr>
      <w:r w:rsidRPr="00817DB5">
        <w:rPr>
          <w:rFonts w:ascii="Arial" w:hAnsi="Arial" w:cs="Arial"/>
          <w:sz w:val="20"/>
          <w:szCs w:val="20"/>
        </w:rPr>
        <w:t xml:space="preserve">CNOUS et CROUS : 1 CT CNOUS central et 1CT dans chaque CROUS (qui sont des EPA). </w:t>
      </w:r>
    </w:p>
    <w:p w:rsidR="00D73759" w:rsidRPr="00AC7189" w:rsidRDefault="00AC7189" w:rsidP="00936EDC">
      <w:pPr>
        <w:jc w:val="both"/>
        <w:rPr>
          <w:rFonts w:ascii="Arial" w:hAnsi="Arial" w:cs="Arial"/>
          <w:sz w:val="20"/>
          <w:szCs w:val="20"/>
        </w:rPr>
      </w:pPr>
      <w:r w:rsidRPr="00817DB5">
        <w:rPr>
          <w:rFonts w:ascii="Arial" w:hAnsi="Arial" w:cs="Arial"/>
          <w:sz w:val="20"/>
          <w:szCs w:val="20"/>
        </w:rPr>
        <w:t>IRD : 1 CT central et 8 CT spéciaux de site (France Nord, France Sud, Guyane, La Réunion, Martinique, Polynésie française, siège, Nouvelle Calédonie).</w:t>
      </w:r>
    </w:p>
    <w:sectPr w:rsidR="00D73759" w:rsidRPr="00AC7189" w:rsidSect="00D73759">
      <w:headerReference w:type="even" r:id="rId6"/>
      <w:headerReference w:type="default" r:id="rId7"/>
      <w:headerReference w:type="firs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7FC" w:rsidRDefault="005667FC" w:rsidP="00936EDC">
      <w:pPr>
        <w:spacing w:after="0" w:line="240" w:lineRule="auto"/>
      </w:pPr>
      <w:r>
        <w:separator/>
      </w:r>
    </w:p>
  </w:endnote>
  <w:endnote w:type="continuationSeparator" w:id="0">
    <w:p w:rsidR="005667FC" w:rsidRDefault="005667FC" w:rsidP="00936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7FC" w:rsidRDefault="005667FC" w:rsidP="00936EDC">
      <w:pPr>
        <w:spacing w:after="0" w:line="240" w:lineRule="auto"/>
      </w:pPr>
      <w:r>
        <w:separator/>
      </w:r>
    </w:p>
  </w:footnote>
  <w:footnote w:type="continuationSeparator" w:id="0">
    <w:p w:rsidR="005667FC" w:rsidRDefault="005667FC" w:rsidP="00936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72B" w:rsidRDefault="00DC6A7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39722" o:spid="_x0000_s2050" type="#_x0000_t136" style="position:absolute;margin-left:0;margin-top:0;width:581.4pt;height:58.1pt;rotation:315;z-index:-251654144;mso-position-horizontal:center;mso-position-horizontal-relative:margin;mso-position-vertical:center;mso-position-vertical-relative:margin" o:allowincell="f" fillcolor="#bfbfbf [2412]" stroked="f">
          <v:textpath style="font-family:&quot;Times New Roman&quot;;font-size:1pt" string="DOCUMENT DE TRAVAI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72B" w:rsidRDefault="00DC6A7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39723" o:spid="_x0000_s2051" type="#_x0000_t136" style="position:absolute;margin-left:0;margin-top:0;width:581.4pt;height:58.1pt;rotation:315;z-index:-251652096;mso-position-horizontal:center;mso-position-horizontal-relative:margin;mso-position-vertical:center;mso-position-vertical-relative:margin" o:allowincell="f" fillcolor="#bfbfbf [2412]" stroked="f">
          <v:textpath style="font-family:&quot;Times New Roman&quot;;font-size:1pt" string="DOCUMENT DE TRAVAIL"/>
          <w10:wrap anchorx="margin" anchory="margin"/>
        </v:shape>
      </w:pict>
    </w:r>
    <w:r w:rsidR="006A772B">
      <w:t xml:space="preserve">DGRH A- </w:t>
    </w:r>
    <w:r w:rsidR="003D4A63">
      <w:t>14</w:t>
    </w:r>
    <w:r w:rsidR="006A772B">
      <w:t>/0</w:t>
    </w:r>
    <w:r w:rsidR="003D4A63">
      <w:t>3</w:t>
    </w:r>
    <w:r w:rsidR="006A772B">
      <w:t>/2014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72B" w:rsidRDefault="00DC6A7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39721" o:spid="_x0000_s2049" type="#_x0000_t136" style="position:absolute;margin-left:0;margin-top:0;width:581.4pt;height:58.1pt;rotation:315;z-index:-251656192;mso-position-horizontal:center;mso-position-horizontal-relative:margin;mso-position-vertical:center;mso-position-vertical-relative:margin" o:allowincell="f" fillcolor="#bfbfbf [2412]" stroked="f">
          <v:textpath style="font-family:&quot;Times New Roman&quot;;font-size:1pt" string="DOCUMENT DE TRAVAIL"/>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C7189"/>
    <w:rsid w:val="001D5B0E"/>
    <w:rsid w:val="001F59F2"/>
    <w:rsid w:val="0028755F"/>
    <w:rsid w:val="0030195C"/>
    <w:rsid w:val="003D4A63"/>
    <w:rsid w:val="0041514B"/>
    <w:rsid w:val="00473841"/>
    <w:rsid w:val="005667FC"/>
    <w:rsid w:val="005E59DF"/>
    <w:rsid w:val="006A772B"/>
    <w:rsid w:val="006B0CB7"/>
    <w:rsid w:val="00700D31"/>
    <w:rsid w:val="0075613E"/>
    <w:rsid w:val="00817DB5"/>
    <w:rsid w:val="00936EDC"/>
    <w:rsid w:val="00953730"/>
    <w:rsid w:val="00983F39"/>
    <w:rsid w:val="00AC7189"/>
    <w:rsid w:val="00AF6A58"/>
    <w:rsid w:val="00D40D21"/>
    <w:rsid w:val="00D73759"/>
    <w:rsid w:val="00DC6A79"/>
    <w:rsid w:val="00F15490"/>
    <w:rsid w:val="00F60A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fr-FR" w:eastAsia="en-US" w:bidi="ar-SA"/>
      </w:rPr>
    </w:rPrDefault>
    <w:pPrDefault>
      <w:pPr>
        <w:spacing w:after="12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D5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17DB5"/>
    <w:pPr>
      <w:ind w:left="720"/>
      <w:contextualSpacing/>
    </w:pPr>
  </w:style>
  <w:style w:type="paragraph" w:styleId="En-tte">
    <w:name w:val="header"/>
    <w:basedOn w:val="Normal"/>
    <w:link w:val="En-tteCar"/>
    <w:uiPriority w:val="99"/>
    <w:semiHidden/>
    <w:unhideWhenUsed/>
    <w:rsid w:val="00936ED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36EDC"/>
  </w:style>
  <w:style w:type="paragraph" w:styleId="Pieddepage">
    <w:name w:val="footer"/>
    <w:basedOn w:val="Normal"/>
    <w:link w:val="PieddepageCar"/>
    <w:uiPriority w:val="99"/>
    <w:semiHidden/>
    <w:unhideWhenUsed/>
    <w:rsid w:val="00936ED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36EDC"/>
  </w:style>
  <w:style w:type="paragraph" w:styleId="Textedebulles">
    <w:name w:val="Balloon Text"/>
    <w:basedOn w:val="Normal"/>
    <w:link w:val="TextedebullesCar"/>
    <w:uiPriority w:val="99"/>
    <w:semiHidden/>
    <w:unhideWhenUsed/>
    <w:rsid w:val="00936E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6E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2406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 Personnel</dc:creator>
  <cp:lastModifiedBy>.</cp:lastModifiedBy>
  <cp:revision>2</cp:revision>
  <cp:lastPrinted>2014-03-14T12:52:00Z</cp:lastPrinted>
  <dcterms:created xsi:type="dcterms:W3CDTF">2014-03-26T15:07:00Z</dcterms:created>
  <dcterms:modified xsi:type="dcterms:W3CDTF">2014-03-26T15:07:00Z</dcterms:modified>
</cp:coreProperties>
</file>